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63307EA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A611BC">
        <w:t>11</w:t>
      </w:r>
      <w:r w:rsidR="005F62D5">
        <w:t>3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71642E" w:rsidRPr="0071642E">
        <w:rPr>
          <w:sz w:val="32"/>
          <w:szCs w:val="32"/>
        </w:rPr>
        <w:t>2305717</w:t>
      </w:r>
    </w:p>
    <w:p w14:paraId="0CE7B7E6" w14:textId="542386CF" w:rsidR="00E90E49" w:rsidRPr="00CE0424" w:rsidRDefault="005F62D5" w:rsidP="00311702">
      <w:pPr>
        <w:pStyle w:val="3GPPHeader"/>
      </w:pPr>
      <w:r w:rsidRPr="005F62D5">
        <w:t>Incheon</w:t>
      </w:r>
      <w:r w:rsidR="0027144F" w:rsidRPr="005F62D5">
        <w:t xml:space="preserve">, </w:t>
      </w:r>
      <w:r w:rsidRPr="005F62D5">
        <w:t>Korea</w:t>
      </w:r>
      <w:r w:rsidR="0027144F" w:rsidRPr="005F62D5">
        <w:t xml:space="preserve">, </w:t>
      </w:r>
      <w:r w:rsidRPr="005F62D5">
        <w:t>May</w:t>
      </w:r>
      <w:r w:rsidR="0027144F" w:rsidRPr="005F62D5">
        <w:t xml:space="preserve"> </w:t>
      </w:r>
      <w:r w:rsidRPr="005F62D5">
        <w:t>22</w:t>
      </w:r>
      <w:r w:rsidRPr="005F62D5">
        <w:rPr>
          <w:vertAlign w:val="superscript"/>
        </w:rPr>
        <w:t>nd</w:t>
      </w:r>
      <w:r w:rsidRPr="005F62D5">
        <w:t xml:space="preserve"> </w:t>
      </w:r>
      <w:r w:rsidR="001D53E7" w:rsidRPr="005F62D5">
        <w:t xml:space="preserve">– </w:t>
      </w:r>
      <w:r w:rsidRPr="005F62D5">
        <w:t>26</w:t>
      </w:r>
      <w:r w:rsidR="001D53E7" w:rsidRPr="005F62D5">
        <w:rPr>
          <w:vertAlign w:val="superscript"/>
        </w:rPr>
        <w:t>th</w:t>
      </w:r>
      <w:r w:rsidRPr="005F62D5">
        <w:t xml:space="preserve"> </w:t>
      </w:r>
      <w:r w:rsidR="0027144F" w:rsidRPr="005F62D5">
        <w:t>20</w:t>
      </w:r>
      <w:r w:rsidR="00A611BC" w:rsidRPr="005F62D5">
        <w:t>2</w:t>
      </w:r>
      <w:r w:rsidRPr="005F62D5">
        <w:t>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6692DF2A" w:rsidR="00E90E49" w:rsidRPr="00B2292D" w:rsidRDefault="00E90E49" w:rsidP="00311702">
      <w:pPr>
        <w:pStyle w:val="3GPPHeader"/>
        <w:rPr>
          <w:sz w:val="22"/>
        </w:rPr>
      </w:pPr>
      <w:r w:rsidRPr="00B2292D">
        <w:rPr>
          <w:sz w:val="22"/>
        </w:rPr>
        <w:t>Agenda Item:</w:t>
      </w:r>
      <w:r w:rsidRPr="00B2292D">
        <w:rPr>
          <w:sz w:val="22"/>
        </w:rPr>
        <w:tab/>
      </w:r>
      <w:r w:rsidR="002E73D0" w:rsidRPr="00B2292D">
        <w:rPr>
          <w:sz w:val="22"/>
        </w:rPr>
        <w:t>9.16.4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7841029A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F62D5">
        <w:rPr>
          <w:sz w:val="22"/>
        </w:rPr>
        <w:t>UE-features for NCR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5F62D5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3035B5D1" w14:textId="73E0CA4A" w:rsidR="00A43305" w:rsidRDefault="00E90E49" w:rsidP="00A43305">
      <w:pPr>
        <w:pStyle w:val="Heading1"/>
      </w:pPr>
      <w:r w:rsidRPr="00CE0424">
        <w:t>Introduction</w:t>
      </w:r>
    </w:p>
    <w:p w14:paraId="3028D930" w14:textId="131D67FE" w:rsidR="00CC307D" w:rsidRDefault="00A43305" w:rsidP="00CC307D">
      <w:r>
        <w:t xml:space="preserve">In this contribution, we discuss our view on the remaining issues regarding </w:t>
      </w:r>
      <w:r w:rsidR="00DA4231">
        <w:t xml:space="preserve">the </w:t>
      </w:r>
      <w:r>
        <w:t>NCR-M</w:t>
      </w:r>
      <w:r w:rsidR="00DA4231">
        <w:t>T’s</w:t>
      </w:r>
      <w:r>
        <w:t xml:space="preserve"> capabilities considering the NCR deployment</w:t>
      </w:r>
      <w:r w:rsidR="00CC307D">
        <w:t>.</w:t>
      </w:r>
      <w:r w:rsidR="00E15ACC">
        <w:t xml:space="preserve"> The outcome of the discussions in RAN1 #112-bis were summarized in </w:t>
      </w:r>
      <w:r w:rsidR="00E15ACC">
        <w:fldChar w:fldCharType="begin"/>
      </w:r>
      <w:r w:rsidR="00E15ACC">
        <w:instrText xml:space="preserve"> REF _Ref174151459 \r \h </w:instrText>
      </w:r>
      <w:r w:rsidR="00E15ACC">
        <w:fldChar w:fldCharType="separate"/>
      </w:r>
      <w:r w:rsidR="004F5EB3">
        <w:t>[1]</w:t>
      </w:r>
      <w:r w:rsidR="00E15ACC">
        <w:fldChar w:fldCharType="end"/>
      </w:r>
      <w:r w:rsidR="00E15ACC">
        <w:t>, which is also used as the starting point for the discussion.</w:t>
      </w:r>
    </w:p>
    <w:p w14:paraId="25F3EC9C" w14:textId="79AE3F88" w:rsidR="00A43305" w:rsidRPr="00DA4231" w:rsidRDefault="004000E8" w:rsidP="00A43305">
      <w:pPr>
        <w:pStyle w:val="Heading1"/>
      </w:pPr>
      <w:bookmarkStart w:id="0" w:name="_Ref178064866"/>
      <w:r w:rsidRPr="00CE0424">
        <w:t>Discussion</w:t>
      </w:r>
      <w:bookmarkEnd w:id="0"/>
    </w:p>
    <w:p w14:paraId="128674DC" w14:textId="70A3C4D6" w:rsidR="005F62D5" w:rsidRDefault="006F1916" w:rsidP="00DC3F81">
      <w:pPr>
        <w:pStyle w:val="Heading2"/>
      </w:pPr>
      <w:r>
        <w:t xml:space="preserve">FG </w:t>
      </w:r>
      <w:r w:rsidR="005F62D5">
        <w:t>43-1</w:t>
      </w:r>
    </w:p>
    <w:p w14:paraId="21244859" w14:textId="12D0F162" w:rsidR="00CC307D" w:rsidRPr="00CC307D" w:rsidRDefault="00F30A6A" w:rsidP="00CC307D">
      <w:r w:rsidRPr="00CC307D">
        <w:t>FG 43-1 describes the basic NCR support</w:t>
      </w:r>
      <w:r w:rsidR="00DA4231" w:rsidRPr="00CC307D">
        <w:t>. Considering that the gNB</w:t>
      </w:r>
      <w:r w:rsidR="00DA4231" w:rsidRPr="00CC307D" w:rsidDel="00F37D05">
        <w:t xml:space="preserve"> </w:t>
      </w:r>
      <w:r w:rsidR="00F37D05">
        <w:t>has</w:t>
      </w:r>
      <w:r w:rsidR="00DA4231" w:rsidRPr="00CC307D">
        <w:t xml:space="preserve"> already been informed about the UE being an NCR by </w:t>
      </w:r>
      <w:proofErr w:type="spellStart"/>
      <w:r w:rsidR="00DA4231" w:rsidRPr="00CC307D">
        <w:rPr>
          <w:i/>
          <w:iCs/>
        </w:rPr>
        <w:t>ncr-NodeIndication</w:t>
      </w:r>
      <w:proofErr w:type="spellEnd"/>
      <w:r w:rsidR="00DA4231" w:rsidRPr="00CC307D">
        <w:t>, there is no need for additional capability signaling for this feature group. Hence, it</w:t>
      </w:r>
      <w:r w:rsidRPr="00CC307D">
        <w:t xml:space="preserve"> can be optional without UE capability signaling. That means an NCR-MT that includes </w:t>
      </w:r>
      <w:proofErr w:type="spellStart"/>
      <w:r w:rsidRPr="00CC307D">
        <w:rPr>
          <w:i/>
          <w:iCs/>
        </w:rPr>
        <w:t>ncr-NodeIndication</w:t>
      </w:r>
      <w:proofErr w:type="spellEnd"/>
      <w:r w:rsidRPr="00CC307D">
        <w:t xml:space="preserve"> in RRC Setup complete must </w:t>
      </w:r>
      <w:r w:rsidR="00DA4231" w:rsidRPr="00CC307D">
        <w:t xml:space="preserve">also </w:t>
      </w:r>
      <w:r w:rsidRPr="00CC307D">
        <w:t>support FG 43-1. In addition, Component 5 of FG 43-1 can be named to “Support of Tx/Rx timing for backhaul/access link based on Tx/Rx timing of C-link” without any candidate value.</w:t>
      </w:r>
      <w:r w:rsidR="00DA4231" w:rsidRPr="00CC307D">
        <w:t xml:space="preserve"> The reason for that is that due to the analog NCR-</w:t>
      </w:r>
      <w:proofErr w:type="spellStart"/>
      <w:r w:rsidR="00DA4231" w:rsidRPr="00CC307D">
        <w:t>Fwd</w:t>
      </w:r>
      <w:proofErr w:type="spellEnd"/>
      <w:r w:rsidR="00DA4231" w:rsidRPr="00CC307D">
        <w:t xml:space="preserve"> signal path, any differences from implementation are still expected to be insignificant from an operation point of view.</w:t>
      </w:r>
    </w:p>
    <w:p w14:paraId="3AD4CEAF" w14:textId="6CF017DD" w:rsidR="005E13D2" w:rsidRPr="00A56D55" w:rsidRDefault="005E13D2" w:rsidP="00A56D55">
      <w:pPr>
        <w:pStyle w:val="Proposal"/>
      </w:pPr>
      <w:bookmarkStart w:id="1" w:name="_Toc135034128"/>
      <w:r w:rsidRPr="00A56D55">
        <w:t>FG 43-1 is opt</w:t>
      </w:r>
      <w:r w:rsidR="00F30A6A" w:rsidRPr="00A56D55">
        <w:t>ional</w:t>
      </w:r>
      <w:r w:rsidRPr="00A56D55">
        <w:t xml:space="preserve"> without capability signaling</w:t>
      </w:r>
      <w:r w:rsidR="00CC307D" w:rsidRPr="00A56D55">
        <w:t>.</w:t>
      </w:r>
      <w:bookmarkEnd w:id="1"/>
    </w:p>
    <w:p w14:paraId="13F9CCD9" w14:textId="4DF2BEAE" w:rsidR="005E13D2" w:rsidRPr="00A56D55" w:rsidRDefault="005E13D2" w:rsidP="00A56D55">
      <w:pPr>
        <w:pStyle w:val="Proposal"/>
      </w:pPr>
      <w:bookmarkStart w:id="2" w:name="_Toc135034129"/>
      <w:r w:rsidRPr="00A56D55">
        <w:t>Component 5 of FG 43-1 is named</w:t>
      </w:r>
      <w:r w:rsidR="00E116AD" w:rsidRPr="00A56D55">
        <w:t xml:space="preserve"> to</w:t>
      </w:r>
      <w:r w:rsidRPr="00A56D55">
        <w:t xml:space="preserve"> “Support of Tx/Rx timing for backhaul/access link based on Tx/Rx timing of C-link”</w:t>
      </w:r>
      <w:r w:rsidR="00CC307D" w:rsidRPr="00A56D55">
        <w:t>.</w:t>
      </w:r>
      <w:bookmarkEnd w:id="2"/>
    </w:p>
    <w:p w14:paraId="25479079" w14:textId="39214F7A" w:rsidR="00B162AB" w:rsidRPr="00A56D55" w:rsidRDefault="005E13D2" w:rsidP="00A56D55">
      <w:pPr>
        <w:pStyle w:val="Proposal"/>
      </w:pPr>
      <w:bookmarkStart w:id="3" w:name="_Toc135034130"/>
      <w:r w:rsidRPr="00A56D55">
        <w:t>Component 5 does not report any candidate value</w:t>
      </w:r>
      <w:r w:rsidR="00CC307D" w:rsidRPr="00A56D55">
        <w:t>.</w:t>
      </w:r>
      <w:bookmarkEnd w:id="3"/>
    </w:p>
    <w:p w14:paraId="1F14EA2B" w14:textId="78D74BE3" w:rsidR="005F62D5" w:rsidRDefault="006F1916" w:rsidP="00DC3F81">
      <w:pPr>
        <w:pStyle w:val="Heading2"/>
      </w:pPr>
      <w:r>
        <w:t xml:space="preserve">FG </w:t>
      </w:r>
      <w:r w:rsidR="005F62D5">
        <w:t>43-2</w:t>
      </w:r>
    </w:p>
    <w:p w14:paraId="58C25B51" w14:textId="3805E41B" w:rsidR="00C530A1" w:rsidRPr="00CC307D" w:rsidRDefault="00C530A1" w:rsidP="00CC307D">
      <w:r w:rsidRPr="00CC307D">
        <w:t xml:space="preserve">In RAN1#112bis-e, it was agreed that at least one of FGs 43-2, 43-3 and 43-4 will be merged with FG 43-1. In our opinion, FG 43-2, i.e., </w:t>
      </w:r>
      <w:r w:rsidR="00CC307D" w:rsidRPr="00CC307D">
        <w:t>p</w:t>
      </w:r>
      <w:r w:rsidRPr="00CC307D">
        <w:t xml:space="preserve">eriodic beam indication for access link, can be merged with FG 43-1. </w:t>
      </w:r>
      <w:r w:rsidR="00CC307D" w:rsidRPr="00CC307D">
        <w:t xml:space="preserve">This is in line with RAN1 practice that the periodic implementation is typically the default feature </w:t>
      </w:r>
      <w:r w:rsidR="00862A61" w:rsidRPr="00CC307D">
        <w:t>and</w:t>
      </w:r>
      <w:r w:rsidR="00CF6AEE">
        <w:t xml:space="preserve"> </w:t>
      </w:r>
      <w:r w:rsidR="00CC307D" w:rsidRPr="00CC307D">
        <w:t>the least demanding one.</w:t>
      </w:r>
    </w:p>
    <w:p w14:paraId="364380AB" w14:textId="0FA8A370" w:rsidR="005F62D5" w:rsidRPr="00A56D55" w:rsidRDefault="005E13D2" w:rsidP="00A56D55">
      <w:pPr>
        <w:pStyle w:val="Proposal"/>
      </w:pPr>
      <w:bookmarkStart w:id="4" w:name="_Toc135034131"/>
      <w:r w:rsidRPr="00A56D55">
        <w:t>Support to include FG 43-2 in FG 43-1 as default mode of operation.</w:t>
      </w:r>
      <w:bookmarkEnd w:id="4"/>
    </w:p>
    <w:p w14:paraId="56ABFCA8" w14:textId="3E17C4FB" w:rsidR="005F62D5" w:rsidRDefault="006F1916" w:rsidP="00DC3F81">
      <w:pPr>
        <w:pStyle w:val="Heading2"/>
      </w:pPr>
      <w:r>
        <w:lastRenderedPageBreak/>
        <w:t xml:space="preserve">FG </w:t>
      </w:r>
      <w:r w:rsidR="005F62D5" w:rsidRPr="00DC3F81">
        <w:t>43</w:t>
      </w:r>
      <w:r w:rsidR="005F62D5">
        <w:t>-3</w:t>
      </w:r>
    </w:p>
    <w:p w14:paraId="05424A82" w14:textId="4AF5B2B6" w:rsidR="00F2261D" w:rsidRDefault="00C530A1" w:rsidP="00CF6AEE">
      <w:r>
        <w:t xml:space="preserve">The slot offset K for the application time of the dynamic beam indication DCI format 2_8 can be reported by NCR-MT capability </w:t>
      </w:r>
      <w:r w:rsidR="009E11F7">
        <w:t>signaling and the candidate values can be {0, 1, 2} slots.</w:t>
      </w:r>
      <w:r w:rsidR="00CF6AEE">
        <w:t xml:space="preserve"> Here, a further clarification is necessary on how a </w:t>
      </w:r>
      <w:r w:rsidR="00CF6AEE" w:rsidRPr="00CF6AEE">
        <w:rPr>
          <w:i/>
          <w:iCs/>
        </w:rPr>
        <w:t>slot</w:t>
      </w:r>
      <w:r w:rsidR="00CF6AEE">
        <w:t xml:space="preserve"> is interpreted</w:t>
      </w:r>
      <w:r w:rsidR="00F2261D">
        <w:t xml:space="preserve"> </w:t>
      </w:r>
      <w:proofErr w:type="gramStart"/>
      <w:r w:rsidR="00F2261D">
        <w:t>in light of</w:t>
      </w:r>
      <w:proofErr w:type="gramEnd"/>
      <w:r w:rsidR="00F2261D">
        <w:t xml:space="preserve"> the RAN1 #112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1A63" w14:paraId="61BCFEA8" w14:textId="77777777" w:rsidTr="006326D6">
        <w:tc>
          <w:tcPr>
            <w:tcW w:w="9629" w:type="dxa"/>
          </w:tcPr>
          <w:p w14:paraId="5AED3DAE" w14:textId="77777777" w:rsidR="00231A63" w:rsidRPr="00231A63" w:rsidRDefault="00231A63" w:rsidP="00231A63">
            <w:pPr>
              <w:rPr>
                <w:rFonts w:cs="Times"/>
                <w:b/>
                <w:bCs/>
                <w:sz w:val="20"/>
                <w:szCs w:val="18"/>
                <w:highlight w:val="green"/>
                <w:lang w:eastAsia="x-none"/>
              </w:rPr>
            </w:pPr>
            <w:bookmarkStart w:id="5" w:name="_Hlk108183691"/>
            <w:r w:rsidRPr="00231A63">
              <w:rPr>
                <w:rFonts w:cs="Times"/>
                <w:b/>
                <w:bCs/>
                <w:sz w:val="20"/>
                <w:szCs w:val="18"/>
                <w:highlight w:val="green"/>
                <w:lang w:eastAsia="x-none"/>
              </w:rPr>
              <w:t>Agreement</w:t>
            </w:r>
          </w:p>
          <w:p w14:paraId="4111C4F0" w14:textId="2F4F53AF" w:rsidR="00231A63" w:rsidRPr="00325786" w:rsidRDefault="00231A63" w:rsidP="00231A63">
            <w:r w:rsidRPr="00231A63">
              <w:rPr>
                <w:rFonts w:cs="Times"/>
                <w:bCs/>
                <w:sz w:val="20"/>
                <w:szCs w:val="18"/>
              </w:rPr>
              <w:t xml:space="preserve">For the aperiodic beam indication, </w:t>
            </w:r>
            <w:r w:rsidRPr="00231A63">
              <w:rPr>
                <w:rFonts w:cs="Times"/>
                <w:sz w:val="20"/>
                <w:szCs w:val="18"/>
              </w:rPr>
              <w:t xml:space="preserve">the reference of slot offset [k] for each time resource is defined as the slot </w:t>
            </w:r>
            <w:proofErr w:type="spellStart"/>
            <w:r w:rsidRPr="00231A63">
              <w:rPr>
                <w:rFonts w:cs="Times"/>
                <w:sz w:val="20"/>
                <w:szCs w:val="18"/>
              </w:rPr>
              <w:t>n+k</w:t>
            </w:r>
            <w:proofErr w:type="spellEnd"/>
            <w:r w:rsidRPr="00231A63">
              <w:rPr>
                <w:rFonts w:cs="Times"/>
                <w:sz w:val="20"/>
                <w:szCs w:val="18"/>
              </w:rPr>
              <w:t xml:space="preserve"> where n refers to the slot that NCR-MT receive the DCI carrying the indication and k refers to the offset value [defined by NCR-MT capability and/or declared by vendor].</w:t>
            </w:r>
          </w:p>
        </w:tc>
      </w:tr>
      <w:bookmarkEnd w:id="5"/>
    </w:tbl>
    <w:p w14:paraId="4ED5D785" w14:textId="77777777" w:rsidR="00231A63" w:rsidRDefault="00231A63" w:rsidP="00CF6AEE"/>
    <w:p w14:paraId="2AFF3842" w14:textId="6989766C" w:rsidR="005F62D5" w:rsidRPr="00CF6AEE" w:rsidRDefault="00CF6AEE" w:rsidP="00CF6AEE">
      <w:r>
        <w:t xml:space="preserve">Considering that a DCI is received in </w:t>
      </w:r>
      <w:r w:rsidR="004E0E5E">
        <w:t>one or a few</w:t>
      </w:r>
      <w:r>
        <w:t xml:space="preserve"> </w:t>
      </w:r>
      <w:r w:rsidRPr="00CF6AEE">
        <w:rPr>
          <w:i/>
          <w:iCs/>
        </w:rPr>
        <w:t>symbol</w:t>
      </w:r>
      <w:r w:rsidR="004E0E5E">
        <w:rPr>
          <w:i/>
          <w:iCs/>
        </w:rPr>
        <w:t>s</w:t>
      </w:r>
      <w:r>
        <w:t xml:space="preserve"> and should</w:t>
      </w:r>
      <w:r w:rsidR="00F2261D">
        <w:t>, according to the agreement,</w:t>
      </w:r>
      <w:r>
        <w:t xml:space="preserve"> be applied at the onset of a slot, </w:t>
      </w:r>
      <w:r w:rsidRPr="00CF6AEE">
        <w:rPr>
          <w:i/>
          <w:iCs/>
        </w:rPr>
        <w:t>slot offset</w:t>
      </w:r>
      <w:r>
        <w:t xml:space="preserve"> becomes an imprecise metric for the capability. For example, </w:t>
      </w:r>
      <w:r w:rsidR="00862A61">
        <w:t xml:space="preserve">an NCR may </w:t>
      </w:r>
      <w:r w:rsidR="00F2261D">
        <w:t xml:space="preserve">have a 12 symbol DCI decoding latency in which case it would </w:t>
      </w:r>
      <w:r w:rsidR="00862A61">
        <w:t>be capable of decoding a DCI received in symbol</w:t>
      </w:r>
      <w:r w:rsidR="00F2261D">
        <w:t>s</w:t>
      </w:r>
      <w:r w:rsidR="00862A61">
        <w:t xml:space="preserve"> 0 and 1 in time for the next slot, while incapable </w:t>
      </w:r>
      <w:r w:rsidR="00F2261D">
        <w:t>in</w:t>
      </w:r>
      <w:r w:rsidR="00862A61">
        <w:t xml:space="preserve"> subsequent symbols.</w:t>
      </w:r>
      <w:r w:rsidR="00F2261D">
        <w:t xml:space="preserve"> </w:t>
      </w:r>
      <w:r w:rsidR="0059623A">
        <w:t xml:space="preserve">For that reason, and considering </w:t>
      </w:r>
      <w:r w:rsidR="0081665C">
        <w:t>a</w:t>
      </w:r>
      <w:r w:rsidR="0059623A">
        <w:t xml:space="preserve"> CORESET is up to three symbols long, </w:t>
      </w:r>
      <w:r>
        <w:t xml:space="preserve">we propose to </w:t>
      </w:r>
      <w:r w:rsidR="004E0E5E">
        <w:t xml:space="preserve">add a clarification that a slot offset </w:t>
      </w:r>
      <w:r w:rsidR="00F2261D" w:rsidRPr="00F2261D">
        <w:rPr>
          <w:i/>
          <w:iCs/>
        </w:rPr>
        <w:t>k</w:t>
      </w:r>
      <w:r w:rsidR="004E0E5E">
        <w:t xml:space="preserve"> implies that the DCI may be applied </w:t>
      </w:r>
      <w:r w:rsidR="00FD6807">
        <w:t xml:space="preserve">in slot </w:t>
      </w:r>
      <w:proofErr w:type="spellStart"/>
      <w:r w:rsidR="00FD6807" w:rsidRPr="00FD6807">
        <w:rPr>
          <w:i/>
          <w:iCs/>
        </w:rPr>
        <w:t>n+k</w:t>
      </w:r>
      <w:proofErr w:type="spellEnd"/>
      <w:r w:rsidR="00862A61">
        <w:t xml:space="preserve">, provided it was </w:t>
      </w:r>
      <w:r w:rsidR="004D0531">
        <w:t>transmitted</w:t>
      </w:r>
      <w:r w:rsidR="00862A61">
        <w:t xml:space="preserve"> in the first </w:t>
      </w:r>
      <w:r w:rsidR="0059623A">
        <w:t xml:space="preserve">three </w:t>
      </w:r>
      <w:r w:rsidR="00862A61">
        <w:t>symbol</w:t>
      </w:r>
      <w:r w:rsidR="0059623A">
        <w:t>s</w:t>
      </w:r>
      <w:r w:rsidR="00862A61">
        <w:t xml:space="preserve"> of slot</w:t>
      </w:r>
      <w:r w:rsidR="00FD6807">
        <w:t xml:space="preserve"> </w:t>
      </w:r>
      <w:r w:rsidR="00FD6807" w:rsidRPr="00FD6807">
        <w:rPr>
          <w:i/>
          <w:iCs/>
        </w:rPr>
        <w:t>n</w:t>
      </w:r>
      <w:r w:rsidR="004E0E5E">
        <w:t>.</w:t>
      </w:r>
    </w:p>
    <w:p w14:paraId="590E2626" w14:textId="467D572E" w:rsidR="00071AFA" w:rsidRPr="00A56D55" w:rsidRDefault="00C530A1" w:rsidP="00071AFA">
      <w:pPr>
        <w:pStyle w:val="Proposal"/>
      </w:pPr>
      <w:bookmarkStart w:id="6" w:name="_Toc135034132"/>
      <w:r w:rsidRPr="00A56D55">
        <w:t>Support c</w:t>
      </w:r>
      <w:r w:rsidR="00071AFA" w:rsidRPr="00A56D55">
        <w:t xml:space="preserve">omponent 2 of FG 43-3 </w:t>
      </w:r>
      <w:r w:rsidRPr="00A56D55">
        <w:t>and</w:t>
      </w:r>
      <w:r w:rsidR="00071AFA" w:rsidRPr="00A56D55">
        <w:t xml:space="preserve"> the candidate values</w:t>
      </w:r>
      <w:r w:rsidRPr="00A56D55">
        <w:t xml:space="preserve"> for the slot offset </w:t>
      </w:r>
      <w:r w:rsidR="00FD6807" w:rsidRPr="00A56D55">
        <w:t>k</w:t>
      </w:r>
      <w:r w:rsidR="00071AFA" w:rsidRPr="00A56D55">
        <w:t xml:space="preserve"> </w:t>
      </w:r>
      <w:r w:rsidRPr="00A56D55">
        <w:t xml:space="preserve">are </w:t>
      </w:r>
      <w:r w:rsidR="00071AFA" w:rsidRPr="00A56D55">
        <w:t>{0,1,2} slots.</w:t>
      </w:r>
      <w:bookmarkEnd w:id="6"/>
    </w:p>
    <w:p w14:paraId="2A86FE2D" w14:textId="55D7127C" w:rsidR="00071AFA" w:rsidRPr="00A56D55" w:rsidRDefault="004E0E5E" w:rsidP="00A56D55">
      <w:pPr>
        <w:pStyle w:val="Proposal"/>
      </w:pPr>
      <w:bookmarkStart w:id="7" w:name="_Toc135034133"/>
      <w:r w:rsidRPr="00A56D55">
        <w:t>A slot offset</w:t>
      </w:r>
      <w:r w:rsidR="00FD6807" w:rsidRPr="00A56D55">
        <w:t xml:space="preserve"> capability value</w:t>
      </w:r>
      <w:r w:rsidRPr="00A56D55">
        <w:t xml:space="preserve"> </w:t>
      </w:r>
      <w:r w:rsidR="00862A61" w:rsidRPr="00A56D55">
        <w:t xml:space="preserve">of </w:t>
      </w:r>
      <w:r w:rsidR="00FD6807" w:rsidRPr="00A56D55">
        <w:t>k</w:t>
      </w:r>
      <w:r w:rsidRPr="00A56D55">
        <w:t xml:space="preserve"> implies that </w:t>
      </w:r>
      <w:r w:rsidR="00FD6807" w:rsidRPr="00A56D55">
        <w:t xml:space="preserve">the NCR can apply a </w:t>
      </w:r>
      <w:r w:rsidRPr="00A56D55">
        <w:t xml:space="preserve">DCI </w:t>
      </w:r>
      <w:r w:rsidR="00FD6807" w:rsidRPr="00A56D55">
        <w:t xml:space="preserve">at slot </w:t>
      </w:r>
      <w:proofErr w:type="spellStart"/>
      <w:r w:rsidR="00FD6807" w:rsidRPr="00A56D55">
        <w:t>n+k</w:t>
      </w:r>
      <w:proofErr w:type="spellEnd"/>
      <w:r w:rsidR="00862A61" w:rsidRPr="00A56D55">
        <w:t xml:space="preserve">, provided </w:t>
      </w:r>
      <w:r w:rsidR="00FD6807" w:rsidRPr="00A56D55">
        <w:t>the DCI</w:t>
      </w:r>
      <w:r w:rsidR="00862A61" w:rsidRPr="00A56D55">
        <w:t xml:space="preserve"> is </w:t>
      </w:r>
      <w:r w:rsidR="004D0531" w:rsidRPr="00A56D55">
        <w:t>transmitted</w:t>
      </w:r>
      <w:r w:rsidR="00862A61" w:rsidRPr="00A56D55">
        <w:t xml:space="preserve"> in the first </w:t>
      </w:r>
      <w:r w:rsidR="0059623A">
        <w:t xml:space="preserve">three </w:t>
      </w:r>
      <w:r w:rsidR="00862A61" w:rsidRPr="00A56D55">
        <w:t>symbol</w:t>
      </w:r>
      <w:r w:rsidR="0059623A">
        <w:t>s</w:t>
      </w:r>
      <w:r w:rsidR="00862A61" w:rsidRPr="00A56D55">
        <w:t xml:space="preserve"> of slot</w:t>
      </w:r>
      <w:r w:rsidR="00FD6807" w:rsidRPr="00A56D55">
        <w:t xml:space="preserve"> n</w:t>
      </w:r>
      <w:r w:rsidRPr="00A56D55">
        <w:t>.</w:t>
      </w:r>
      <w:bookmarkEnd w:id="7"/>
    </w:p>
    <w:p w14:paraId="1C1DFFB7" w14:textId="7A8510C1" w:rsidR="005F62D5" w:rsidRDefault="006F1916" w:rsidP="00DC3F81">
      <w:pPr>
        <w:pStyle w:val="Heading2"/>
      </w:pPr>
      <w:r>
        <w:t xml:space="preserve">FG </w:t>
      </w:r>
      <w:r w:rsidR="005F62D5">
        <w:t>43-4</w:t>
      </w:r>
      <w:r w:rsidR="00134C2A">
        <w:t>/4a</w:t>
      </w:r>
    </w:p>
    <w:p w14:paraId="0244748A" w14:textId="72BD31EF" w:rsidR="00134C2A" w:rsidRDefault="00134C2A" w:rsidP="00134C2A">
      <w:proofErr w:type="gramStart"/>
      <w:r>
        <w:t>In order to</w:t>
      </w:r>
      <w:proofErr w:type="gramEnd"/>
      <w:r>
        <w:t xml:space="preserve"> simplify repeater implementation in networks, only a limited number of features should be supported. In particular, the network implementation may become very complex if different repeaters support different features, to such a degree that the more advanced features may not be possible to use</w:t>
      </w:r>
      <w:r w:rsidR="001F5D1E">
        <w:t xml:space="preserve"> anyway</w:t>
      </w:r>
      <w:r>
        <w:t>. For that reason, we think it is beneficial to include FG-43-4a as Component 3 in FG 43-4.</w:t>
      </w:r>
    </w:p>
    <w:p w14:paraId="1CFAE16A" w14:textId="3C388A22" w:rsidR="00B178EF" w:rsidRPr="00714D66" w:rsidRDefault="001F5D1E" w:rsidP="00714D66">
      <w:r>
        <w:t>Additionally, i</w:t>
      </w:r>
      <w:r w:rsidR="00B178EF">
        <w:t xml:space="preserve">n the discussions </w:t>
      </w:r>
      <w:r w:rsidR="002F675A">
        <w:t>in</w:t>
      </w:r>
      <w:r w:rsidR="00B178EF">
        <w:t xml:space="preserve"> RAN1#112</w:t>
      </w:r>
      <w:r w:rsidR="002F675A">
        <w:t>-</w:t>
      </w:r>
      <w:r w:rsidR="00B178EF">
        <w:t>bis, it was clarified that FG 43-4</w:t>
      </w:r>
      <w:r w:rsidR="00134C2A">
        <w:t>a</w:t>
      </w:r>
      <w:r w:rsidR="00B178EF">
        <w:t xml:space="preserve"> is about temporarily overrid</w:t>
      </w:r>
      <w:r w:rsidR="002F675A">
        <w:t>ing</w:t>
      </w:r>
      <w:r w:rsidR="00B178EF">
        <w:t xml:space="preserve"> the RRC configuration of the beam index(es) in semi-persistent beam indication. Hence, we think Component 1 of FG 43-4 </w:t>
      </w:r>
      <w:r w:rsidR="003E54E5">
        <w:t>should</w:t>
      </w:r>
      <w:r w:rsidR="00B178EF">
        <w:t xml:space="preserve"> be named “Support of </w:t>
      </w:r>
      <w:r w:rsidRPr="003E54E5">
        <w:t>temporarily</w:t>
      </w:r>
      <w:r>
        <w:t xml:space="preserve"> </w:t>
      </w:r>
      <w:r w:rsidR="00B178EF">
        <w:t>override of the RRC configuration of the beam index(es) in semi-persistent beam indication”.</w:t>
      </w:r>
    </w:p>
    <w:p w14:paraId="49165329" w14:textId="324E2E0A" w:rsidR="005E13D2" w:rsidRPr="00A56D55" w:rsidRDefault="005E13D2" w:rsidP="00A56D55">
      <w:pPr>
        <w:pStyle w:val="Proposal"/>
      </w:pPr>
      <w:bookmarkStart w:id="8" w:name="_Toc135034134"/>
      <w:r w:rsidRPr="00A56D55">
        <w:t xml:space="preserve">Support merging FG 43-4a with FG 43-4 to include FG 43-4a as </w:t>
      </w:r>
      <w:r w:rsidR="00134C2A" w:rsidRPr="00A56D55">
        <w:t>C</w:t>
      </w:r>
      <w:r w:rsidRPr="00A56D55">
        <w:t xml:space="preserve">omponent </w:t>
      </w:r>
      <w:r w:rsidR="00134C2A" w:rsidRPr="00A56D55">
        <w:t>3</w:t>
      </w:r>
      <w:r w:rsidRPr="00A56D55">
        <w:t xml:space="preserve"> for FG 43-4</w:t>
      </w:r>
      <w:r w:rsidR="00134C2A" w:rsidRPr="00A56D55">
        <w:t>.</w:t>
      </w:r>
      <w:bookmarkEnd w:id="8"/>
    </w:p>
    <w:p w14:paraId="5E2184DD" w14:textId="1556F6AC" w:rsidR="005F62D5" w:rsidRPr="00A56D55" w:rsidRDefault="00134C2A" w:rsidP="00A56D55">
      <w:pPr>
        <w:pStyle w:val="Proposal"/>
      </w:pPr>
      <w:bookmarkStart w:id="9" w:name="_Toc135034135"/>
      <w:r w:rsidRPr="00A56D55">
        <w:t xml:space="preserve">Component 1 of FG 43-4 is named to “Support of </w:t>
      </w:r>
      <w:r w:rsidR="00714D66" w:rsidRPr="002E6509">
        <w:t>temporarily</w:t>
      </w:r>
      <w:r w:rsidR="00714D66" w:rsidRPr="00A56D55">
        <w:t xml:space="preserve"> </w:t>
      </w:r>
      <w:r w:rsidR="002E6509" w:rsidRPr="002E6509">
        <w:t>overriding the</w:t>
      </w:r>
      <w:r w:rsidRPr="00A56D55">
        <w:t xml:space="preserve"> configuration of the beam index(es) in semi-persistent beam indication</w:t>
      </w:r>
      <w:r w:rsidR="002E6509" w:rsidRPr="002E6509">
        <w:t xml:space="preserve"> from the RRC</w:t>
      </w:r>
      <w:r w:rsidR="002E6509">
        <w:t>.</w:t>
      </w:r>
      <w:r w:rsidRPr="00A56D55">
        <w:t>”</w:t>
      </w:r>
      <w:bookmarkEnd w:id="9"/>
    </w:p>
    <w:p w14:paraId="46F30779" w14:textId="098BDD46" w:rsidR="005F62D5" w:rsidRDefault="006F1916" w:rsidP="00DC3F81">
      <w:pPr>
        <w:pStyle w:val="Heading2"/>
      </w:pPr>
      <w:r>
        <w:t xml:space="preserve">FG </w:t>
      </w:r>
      <w:r w:rsidR="005F62D5">
        <w:t>43-6</w:t>
      </w:r>
    </w:p>
    <w:p w14:paraId="55B473C3" w14:textId="0C57B58B" w:rsidR="005E13D2" w:rsidRPr="00567660" w:rsidRDefault="00714D66" w:rsidP="005E13D2">
      <w:pPr>
        <w:rPr>
          <w:lang w:val="en-GB" w:eastAsia="ja-JP"/>
        </w:rPr>
      </w:pPr>
      <w:r>
        <w:rPr>
          <w:lang w:val="en-GB" w:eastAsia="ja-JP"/>
        </w:rPr>
        <w:t xml:space="preserve">For </w:t>
      </w:r>
      <w:r w:rsidR="00B178EF" w:rsidRPr="00567660">
        <w:rPr>
          <w:lang w:val="en-GB" w:eastAsia="ja-JP"/>
        </w:rPr>
        <w:t>FG 43-6</w:t>
      </w:r>
      <w:r>
        <w:rPr>
          <w:lang w:val="en-GB" w:eastAsia="ja-JP"/>
        </w:rPr>
        <w:t xml:space="preserve">, one outstanding issue is what component candidate values should be defined. In our opinion, it is useful for </w:t>
      </w:r>
      <w:r w:rsidR="0061459E">
        <w:rPr>
          <w:lang w:val="en-GB" w:eastAsia="ja-JP"/>
        </w:rPr>
        <w:t>t</w:t>
      </w:r>
      <w:r>
        <w:rPr>
          <w:lang w:val="en-GB" w:eastAsia="ja-JP"/>
        </w:rPr>
        <w:t xml:space="preserve">he NCR to indicate all its capabilities, and then the network can decide which on to use. For that reason, there is a benefit in indicating support for both Rel-15/16 and Rel-17 TCI indication for the backhaul link indication, i.e., the component </w:t>
      </w:r>
      <w:r w:rsidR="00B178EF" w:rsidRPr="00567660">
        <w:rPr>
          <w:lang w:val="en-GB" w:eastAsia="ja-JP"/>
        </w:rPr>
        <w:t xml:space="preserve">candidate values </w:t>
      </w:r>
      <w:r>
        <w:rPr>
          <w:lang w:val="en-GB" w:eastAsia="ja-JP"/>
        </w:rPr>
        <w:t xml:space="preserve">are </w:t>
      </w:r>
      <w:r w:rsidR="00B178EF" w:rsidRPr="00567660">
        <w:rPr>
          <w:lang w:val="en-GB" w:eastAsia="ja-JP"/>
        </w:rPr>
        <w:t>{Rel-15/16, Rel-17, both}.</w:t>
      </w:r>
      <w:r w:rsidR="00442C60">
        <w:rPr>
          <w:lang w:val="en-GB" w:eastAsia="ja-JP"/>
        </w:rPr>
        <w:t xml:space="preserve"> Since Rel-17 support implies to also support Rel-15/16 beam indication, the option “both” can be removed</w:t>
      </w:r>
      <w:r w:rsidR="003E54E5">
        <w:rPr>
          <w:lang w:val="en-GB" w:eastAsia="ja-JP"/>
        </w:rPr>
        <w:t xml:space="preserve"> since it would be redundant with the Rel-17 feature</w:t>
      </w:r>
      <w:r w:rsidR="00442C60">
        <w:rPr>
          <w:lang w:val="en-GB" w:eastAsia="ja-JP"/>
        </w:rPr>
        <w:t>.</w:t>
      </w:r>
    </w:p>
    <w:p w14:paraId="69288C17" w14:textId="60F809CE" w:rsidR="005F62D5" w:rsidRPr="00A15593" w:rsidRDefault="005E13D2" w:rsidP="00A15593">
      <w:pPr>
        <w:pStyle w:val="Proposal"/>
      </w:pPr>
      <w:bookmarkStart w:id="10" w:name="_Toc135034136"/>
      <w:r w:rsidRPr="00A56D55">
        <w:t>Support candidate values {Rel-15/16, Rel-17}</w:t>
      </w:r>
      <w:r w:rsidR="00714D66" w:rsidRPr="00A56D55">
        <w:t xml:space="preserve"> for FG-43-6</w:t>
      </w:r>
      <w:r w:rsidRPr="00A56D55">
        <w:t>.</w:t>
      </w:r>
      <w:bookmarkEnd w:id="10"/>
    </w:p>
    <w:p w14:paraId="185A7678" w14:textId="6059E648" w:rsidR="00805D8F" w:rsidRPr="00714D66" w:rsidRDefault="006F1916" w:rsidP="00805D8F">
      <w:pPr>
        <w:pStyle w:val="Heading2"/>
      </w:pPr>
      <w:r>
        <w:lastRenderedPageBreak/>
        <w:t xml:space="preserve">FG </w:t>
      </w:r>
      <w:r w:rsidR="005F62D5">
        <w:t>43-8</w:t>
      </w:r>
    </w:p>
    <w:p w14:paraId="7F4E30E7" w14:textId="77777777" w:rsidR="001A2E2C" w:rsidRPr="00567660" w:rsidRDefault="001A2E2C" w:rsidP="001A2E2C">
      <w:pPr>
        <w:rPr>
          <w:lang w:eastAsia="ja-JP"/>
        </w:rPr>
      </w:pPr>
      <w:r w:rsidRPr="00567660">
        <w:rPr>
          <w:lang w:eastAsia="ja-JP"/>
        </w:rPr>
        <w:t>For Rel-18, there are three ways to indicate the backhaul link beam if adaptive beam indication is supported:</w:t>
      </w:r>
    </w:p>
    <w:p w14:paraId="571061A6" w14:textId="67A626F7" w:rsidR="001A2E2C" w:rsidRPr="00A56D55" w:rsidRDefault="001A2E2C" w:rsidP="00A56D55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  <w:lang w:eastAsia="ja-JP"/>
        </w:rPr>
      </w:pPr>
      <w:r w:rsidRPr="00A56D55">
        <w:rPr>
          <w:rFonts w:ascii="Arial" w:hAnsi="Arial" w:cs="Arial"/>
          <w:sz w:val="20"/>
          <w:szCs w:val="20"/>
          <w:lang w:val="en-GB" w:eastAsia="ja-JP"/>
        </w:rPr>
        <w:t>Joint beam indication of backhaul link and C-link</w:t>
      </w:r>
    </w:p>
    <w:p w14:paraId="6C31CF02" w14:textId="70695848" w:rsidR="001A2E2C" w:rsidRPr="00A56D55" w:rsidRDefault="001A2E2C" w:rsidP="00A56D55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  <w:lang w:eastAsia="ja-JP"/>
        </w:rPr>
      </w:pPr>
      <w:r w:rsidRPr="00A56D55">
        <w:rPr>
          <w:rFonts w:ascii="Arial" w:hAnsi="Arial" w:cs="Arial"/>
          <w:sz w:val="20"/>
          <w:szCs w:val="20"/>
          <w:lang w:val="en-GB" w:eastAsia="ja-JP"/>
        </w:rPr>
        <w:t>Backhaul link beam indication based on pre-defined rules</w:t>
      </w:r>
    </w:p>
    <w:p w14:paraId="146CB579" w14:textId="033AE23E" w:rsidR="001A2E2C" w:rsidRPr="00A56D55" w:rsidRDefault="001A2E2C" w:rsidP="00A56D55">
      <w:pPr>
        <w:pStyle w:val="ListParagraph"/>
        <w:numPr>
          <w:ilvl w:val="0"/>
          <w:numId w:val="27"/>
        </w:numPr>
        <w:spacing w:after="240"/>
        <w:rPr>
          <w:rFonts w:ascii="Arial" w:hAnsi="Arial" w:cs="Arial"/>
          <w:sz w:val="20"/>
          <w:szCs w:val="20"/>
          <w:lang w:eastAsia="ja-JP"/>
        </w:rPr>
      </w:pPr>
      <w:r w:rsidRPr="00A56D55">
        <w:rPr>
          <w:rFonts w:ascii="Arial" w:hAnsi="Arial" w:cs="Arial"/>
          <w:sz w:val="20"/>
          <w:szCs w:val="20"/>
          <w:lang w:val="en-GB" w:eastAsia="ja-JP"/>
        </w:rPr>
        <w:t>Dedicated backhaul link beam indication</w:t>
      </w:r>
    </w:p>
    <w:p w14:paraId="42A5EE7A" w14:textId="3A9E27AC" w:rsidR="001A2E2C" w:rsidRPr="00567660" w:rsidRDefault="001A2E2C" w:rsidP="001A2E2C">
      <w:pPr>
        <w:rPr>
          <w:lang w:eastAsia="ja-JP"/>
        </w:rPr>
      </w:pPr>
      <w:r w:rsidRPr="00567660">
        <w:rPr>
          <w:lang w:eastAsia="ja-JP"/>
        </w:rPr>
        <w:t xml:space="preserve">All three ways require the support of adaptive beam indication for the C-link. Hence, we think FG 43-8 should include a new Component 1 “Joint beam indication for C-link and backhaul link”, accordingly, the FG 43-8 is named as “Adaptive beam for NCR backhaul link/C-link”. </w:t>
      </w:r>
      <w:r w:rsidR="00442C60">
        <w:rPr>
          <w:lang w:val="en-GB" w:eastAsia="ja-JP"/>
        </w:rPr>
        <w:t xml:space="preserve">Since Rel-17 support implies to also support Rel-15/16 beam indication, the option “both” can be removed. </w:t>
      </w:r>
      <w:r w:rsidRPr="00567660">
        <w:rPr>
          <w:lang w:eastAsia="ja-JP"/>
        </w:rPr>
        <w:t xml:space="preserve">Finally, FG 43-8 shall have the </w:t>
      </w:r>
      <w:r w:rsidR="00442C60">
        <w:rPr>
          <w:lang w:eastAsia="ja-JP"/>
        </w:rPr>
        <w:t xml:space="preserve">same </w:t>
      </w:r>
      <w:r w:rsidRPr="00567660">
        <w:rPr>
          <w:lang w:eastAsia="ja-JP"/>
        </w:rPr>
        <w:t xml:space="preserve">candidate values </w:t>
      </w:r>
      <w:r w:rsidR="00442C60">
        <w:rPr>
          <w:lang w:eastAsia="ja-JP"/>
        </w:rPr>
        <w:t>as</w:t>
      </w:r>
      <w:r w:rsidR="00A56D55">
        <w:rPr>
          <w:lang w:eastAsia="ja-JP"/>
        </w:rPr>
        <w:t xml:space="preserve"> FG 43-6</w:t>
      </w:r>
      <w:r w:rsidRPr="00567660">
        <w:rPr>
          <w:lang w:eastAsia="ja-JP"/>
        </w:rPr>
        <w:t>.</w:t>
      </w:r>
    </w:p>
    <w:p w14:paraId="0325B1DC" w14:textId="28867FEB" w:rsidR="00071AFA" w:rsidRPr="00A56D55" w:rsidRDefault="00071AFA" w:rsidP="00A56D55">
      <w:pPr>
        <w:pStyle w:val="Proposal"/>
      </w:pPr>
      <w:bookmarkStart w:id="11" w:name="_Toc135034137"/>
      <w:r w:rsidRPr="00A56D55">
        <w:t>FG</w:t>
      </w:r>
      <w:r w:rsidR="0011130F" w:rsidRPr="00A56D55">
        <w:t xml:space="preserve"> 43-8</w:t>
      </w:r>
      <w:r w:rsidRPr="00A56D55">
        <w:t xml:space="preserve"> is named as “Adaptive beam for NCR backhaul link/C-link</w:t>
      </w:r>
      <w:r w:rsidR="00A56D55">
        <w:t>.</w:t>
      </w:r>
      <w:r w:rsidRPr="00A56D55">
        <w:t>”</w:t>
      </w:r>
      <w:bookmarkEnd w:id="11"/>
    </w:p>
    <w:p w14:paraId="7955595E" w14:textId="4AE61809" w:rsidR="0011130F" w:rsidRPr="00A56D55" w:rsidRDefault="0011130F" w:rsidP="00A56D55">
      <w:pPr>
        <w:pStyle w:val="Proposal"/>
      </w:pPr>
      <w:bookmarkStart w:id="12" w:name="_Toc135034138"/>
      <w:r w:rsidRPr="00A56D55">
        <w:t xml:space="preserve">Introduce </w:t>
      </w:r>
      <w:r w:rsidR="001A2E2C" w:rsidRPr="00A56D55">
        <w:t>C</w:t>
      </w:r>
      <w:r w:rsidRPr="00A56D55">
        <w:t>omponent 1 to FG 43-8 on joint beam indication for C-link and Backhaul link</w:t>
      </w:r>
      <w:r w:rsidR="00A56D55">
        <w:t>.</w:t>
      </w:r>
      <w:bookmarkEnd w:id="12"/>
    </w:p>
    <w:p w14:paraId="15888FD6" w14:textId="53F53502" w:rsidR="005F62D5" w:rsidRPr="00A15593" w:rsidRDefault="0011130F" w:rsidP="00A15593">
      <w:pPr>
        <w:pStyle w:val="Proposal"/>
      </w:pPr>
      <w:bookmarkStart w:id="13" w:name="_Toc135034139"/>
      <w:r w:rsidRPr="00A56D55">
        <w:t>FG 43-8 ha</w:t>
      </w:r>
      <w:r w:rsidR="00442C60">
        <w:t>s</w:t>
      </w:r>
      <w:r w:rsidRPr="00A56D55">
        <w:t xml:space="preserve"> the </w:t>
      </w:r>
      <w:r w:rsidR="00442C60">
        <w:t xml:space="preserve">same </w:t>
      </w:r>
      <w:r w:rsidRPr="00A56D55">
        <w:t xml:space="preserve">candidate values </w:t>
      </w:r>
      <w:r w:rsidR="00442C60">
        <w:t>as FG 43-6</w:t>
      </w:r>
      <w:r w:rsidRPr="00A56D55">
        <w:t>.</w:t>
      </w:r>
      <w:bookmarkEnd w:id="13"/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225A1B8" w14:textId="77777777" w:rsidR="006E1C82" w:rsidRDefault="008E065E" w:rsidP="004E6E0E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2ACC827" w14:textId="65592732" w:rsidR="004F5EB3" w:rsidRDefault="006E1C82" w:rsidP="004E6E0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35034128" w:history="1">
        <w:r w:rsidR="004F5EB3" w:rsidRPr="00490E85">
          <w:rPr>
            <w:rStyle w:val="Hyperlink"/>
            <w:noProof/>
            <w:lang w:val="en-GB"/>
          </w:rPr>
          <w:t>Proposal 1</w:t>
        </w:r>
        <w:r w:rsidR="004F5EB3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4F5EB3" w:rsidRPr="00490E85">
          <w:rPr>
            <w:rStyle w:val="Hyperlink"/>
            <w:noProof/>
          </w:rPr>
          <w:t>FG 43-1 is optional without capability signaling.</w:t>
        </w:r>
      </w:hyperlink>
    </w:p>
    <w:p w14:paraId="49875A88" w14:textId="758AA0AD" w:rsidR="004F5EB3" w:rsidRDefault="004F5EB3" w:rsidP="004E6E0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034129" w:history="1">
        <w:r w:rsidRPr="00490E85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490E85">
          <w:rPr>
            <w:rStyle w:val="Hyperlink"/>
            <w:noProof/>
          </w:rPr>
          <w:t>Component 5 of FG 43-1 is named to “Support of Tx/Rx timing for backhaul/access link based on Tx/Rx timing of C-link”.</w:t>
        </w:r>
      </w:hyperlink>
    </w:p>
    <w:p w14:paraId="68A8EF7E" w14:textId="41B75921" w:rsidR="004F5EB3" w:rsidRDefault="004F5EB3" w:rsidP="004E6E0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034130" w:history="1">
        <w:r w:rsidRPr="00490E85">
          <w:rPr>
            <w:rStyle w:val="Hyperlink"/>
            <w:noProof/>
            <w:lang w:val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490E85">
          <w:rPr>
            <w:rStyle w:val="Hyperlink"/>
            <w:noProof/>
          </w:rPr>
          <w:t>Component 5 does not report any candidate value.</w:t>
        </w:r>
      </w:hyperlink>
    </w:p>
    <w:p w14:paraId="33F897AE" w14:textId="6E3BFB8B" w:rsidR="004F5EB3" w:rsidRDefault="004F5EB3" w:rsidP="004E6E0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034131" w:history="1">
        <w:r w:rsidRPr="00490E85">
          <w:rPr>
            <w:rStyle w:val="Hyperlink"/>
            <w:noProof/>
            <w:lang w:val="en-GB"/>
          </w:rPr>
          <w:t>Proposal 4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490E85">
          <w:rPr>
            <w:rStyle w:val="Hyperlink"/>
            <w:noProof/>
          </w:rPr>
          <w:t>Support to include FG 43-2 in FG 43-1 as default mode of operation.</w:t>
        </w:r>
      </w:hyperlink>
    </w:p>
    <w:p w14:paraId="62DFBF0F" w14:textId="140935F5" w:rsidR="004F5EB3" w:rsidRDefault="004F5EB3" w:rsidP="004E6E0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034132" w:history="1">
        <w:r w:rsidRPr="00490E85">
          <w:rPr>
            <w:rStyle w:val="Hyperlink"/>
            <w:noProof/>
            <w:lang w:val="en-GB"/>
          </w:rPr>
          <w:t>Proposal 5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490E85">
          <w:rPr>
            <w:rStyle w:val="Hyperlink"/>
            <w:noProof/>
          </w:rPr>
          <w:t>Support component 2 of FG 43-3 and the candidate values for the slot offset k are {0,1,2} slots.</w:t>
        </w:r>
      </w:hyperlink>
    </w:p>
    <w:p w14:paraId="3CB17BEA" w14:textId="62FC8CEF" w:rsidR="004F5EB3" w:rsidRDefault="004F5EB3" w:rsidP="004E6E0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034133" w:history="1">
        <w:r w:rsidRPr="00490E85">
          <w:rPr>
            <w:rStyle w:val="Hyperlink"/>
            <w:noProof/>
            <w:lang w:val="en-GB"/>
          </w:rPr>
          <w:t>Proposal 6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490E85">
          <w:rPr>
            <w:rStyle w:val="Hyperlink"/>
            <w:noProof/>
          </w:rPr>
          <w:t>A slot offset capability value of k implies that the NCR can apply a DCI at slot n+k, provided the DCI is transmitted in the first three symbols of slot n.</w:t>
        </w:r>
      </w:hyperlink>
    </w:p>
    <w:p w14:paraId="7FEB9533" w14:textId="563FC7B6" w:rsidR="004F5EB3" w:rsidRDefault="004F5EB3" w:rsidP="004E6E0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034134" w:history="1">
        <w:r w:rsidRPr="00490E85">
          <w:rPr>
            <w:rStyle w:val="Hyperlink"/>
            <w:noProof/>
            <w:lang w:val="en-GB"/>
          </w:rPr>
          <w:t>Proposal 7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490E85">
          <w:rPr>
            <w:rStyle w:val="Hyperlink"/>
            <w:noProof/>
          </w:rPr>
          <w:t>Support merging FG 43-4a with FG 43-4 to include FG 43-4a as Component 3 for FG 43-4.</w:t>
        </w:r>
      </w:hyperlink>
    </w:p>
    <w:p w14:paraId="0BC7B387" w14:textId="35EC98B3" w:rsidR="004F5EB3" w:rsidRDefault="004F5EB3" w:rsidP="004E6E0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034135" w:history="1">
        <w:r w:rsidRPr="00490E85">
          <w:rPr>
            <w:rStyle w:val="Hyperlink"/>
            <w:noProof/>
            <w:lang w:val="en-GB"/>
          </w:rPr>
          <w:t>Proposal 8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490E85">
          <w:rPr>
            <w:rStyle w:val="Hyperlink"/>
            <w:noProof/>
          </w:rPr>
          <w:t>Component 1 of FG 43-4 is named to “Support of temporarily overriding the configuration of the beam index(es) in semi-persistent beam indication from the RRC.”</w:t>
        </w:r>
      </w:hyperlink>
    </w:p>
    <w:p w14:paraId="073EE809" w14:textId="476E4692" w:rsidR="004F5EB3" w:rsidRDefault="004F5EB3" w:rsidP="004E6E0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034136" w:history="1">
        <w:r w:rsidRPr="00490E85">
          <w:rPr>
            <w:rStyle w:val="Hyperlink"/>
            <w:noProof/>
            <w:lang w:val="en-GB"/>
          </w:rPr>
          <w:t>Proposal 9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490E85">
          <w:rPr>
            <w:rStyle w:val="Hyperlink"/>
            <w:noProof/>
          </w:rPr>
          <w:t>Support candidate values {Rel-15/16, Rel-17} for FG-43-6.</w:t>
        </w:r>
      </w:hyperlink>
    </w:p>
    <w:p w14:paraId="13585845" w14:textId="56F039D1" w:rsidR="004F5EB3" w:rsidRDefault="004F5EB3" w:rsidP="004E6E0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034137" w:history="1">
        <w:r w:rsidRPr="00490E85">
          <w:rPr>
            <w:rStyle w:val="Hyperlink"/>
            <w:noProof/>
            <w:lang w:val="en-GB"/>
          </w:rPr>
          <w:t>Proposal 10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490E85">
          <w:rPr>
            <w:rStyle w:val="Hyperlink"/>
            <w:noProof/>
          </w:rPr>
          <w:t>FG 43-8 is named as “Adaptive beam for NCR backhaul link/C-link.”</w:t>
        </w:r>
      </w:hyperlink>
    </w:p>
    <w:p w14:paraId="3F3F0EFB" w14:textId="2C2152B0" w:rsidR="004F5EB3" w:rsidRDefault="004F5EB3" w:rsidP="004E6E0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034138" w:history="1">
        <w:r w:rsidRPr="00490E85">
          <w:rPr>
            <w:rStyle w:val="Hyperlink"/>
            <w:noProof/>
            <w:lang w:val="en-GB"/>
          </w:rPr>
          <w:t>Proposal 11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490E85">
          <w:rPr>
            <w:rStyle w:val="Hyperlink"/>
            <w:noProof/>
          </w:rPr>
          <w:t>Introduce Component 1 to FG 43-8 on joint beam indication for C-link and Backhaul link.</w:t>
        </w:r>
      </w:hyperlink>
    </w:p>
    <w:p w14:paraId="712E8AB2" w14:textId="35A85C97" w:rsidR="004F5EB3" w:rsidRDefault="004F5EB3" w:rsidP="004E6E0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034139" w:history="1">
        <w:r w:rsidRPr="00490E85">
          <w:rPr>
            <w:rStyle w:val="Hyperlink"/>
            <w:noProof/>
            <w:lang w:val="en-GB"/>
          </w:rPr>
          <w:t>Proposal 12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490E85">
          <w:rPr>
            <w:rStyle w:val="Hyperlink"/>
            <w:noProof/>
          </w:rPr>
          <w:t>FG 43-8 has the same candidate values as FG 43-6.</w:t>
        </w:r>
      </w:hyperlink>
    </w:p>
    <w:p w14:paraId="58ACA235" w14:textId="218BD4DD" w:rsidR="00C01F33" w:rsidRPr="00E15ACC" w:rsidRDefault="006E1C82" w:rsidP="004E6E0E">
      <w:pPr>
        <w:pStyle w:val="BodyText"/>
        <w:rPr>
          <w:b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14" w:name="_In-sequence_SDU_delivery"/>
      <w:bookmarkEnd w:id="14"/>
      <w:r w:rsidRPr="00CE0424">
        <w:t>References</w:t>
      </w:r>
    </w:p>
    <w:p w14:paraId="715CA09B" w14:textId="59DB843A" w:rsidR="003A7EF3" w:rsidRPr="00CE0424" w:rsidRDefault="00E15ACC" w:rsidP="00CE0424">
      <w:pPr>
        <w:pStyle w:val="Reference"/>
      </w:pPr>
      <w:bookmarkStart w:id="15" w:name="_Ref174151459"/>
      <w:bookmarkStart w:id="16" w:name="_Ref189809556"/>
      <w:r w:rsidRPr="00E15ACC">
        <w:t>R1-2303652</w:t>
      </w:r>
      <w:r w:rsidR="005F3025" w:rsidRPr="00CE0424">
        <w:t xml:space="preserve">, </w:t>
      </w:r>
      <w:r>
        <w:t>“</w:t>
      </w:r>
      <w:r w:rsidRPr="00E15ACC">
        <w:t>Summary of UE features for NR NCR</w:t>
      </w:r>
      <w:r>
        <w:t>”</w:t>
      </w:r>
      <w:r w:rsidR="005F3025" w:rsidRPr="00CE0424">
        <w:t xml:space="preserve">, </w:t>
      </w:r>
      <w:r>
        <w:t>Moderator (AT&amp;T), RAN1 #112-bis, April 2023.</w:t>
      </w:r>
      <w:bookmarkEnd w:id="15"/>
      <w:bookmarkEnd w:id="16"/>
    </w:p>
    <w:sectPr w:rsidR="003A7EF3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46D7A" w14:textId="77777777" w:rsidR="00CB1185" w:rsidRDefault="00CB1185">
      <w:r>
        <w:separator/>
      </w:r>
    </w:p>
  </w:endnote>
  <w:endnote w:type="continuationSeparator" w:id="0">
    <w:p w14:paraId="60006F56" w14:textId="77777777" w:rsidR="00CB1185" w:rsidRDefault="00CB1185">
      <w:r>
        <w:continuationSeparator/>
      </w:r>
    </w:p>
  </w:endnote>
  <w:endnote w:type="continuationNotice" w:id="1">
    <w:p w14:paraId="4CB2B9E8" w14:textId="77777777" w:rsidR="00CB1185" w:rsidRDefault="00CB11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D056D" w14:textId="77777777" w:rsidR="00CB1185" w:rsidRDefault="00CB1185">
      <w:r>
        <w:separator/>
      </w:r>
    </w:p>
  </w:footnote>
  <w:footnote w:type="continuationSeparator" w:id="0">
    <w:p w14:paraId="0A3086B5" w14:textId="77777777" w:rsidR="00CB1185" w:rsidRDefault="00CB1185">
      <w:r>
        <w:continuationSeparator/>
      </w:r>
    </w:p>
  </w:footnote>
  <w:footnote w:type="continuationNotice" w:id="1">
    <w:p w14:paraId="2CF25C9C" w14:textId="77777777" w:rsidR="00CB1185" w:rsidRDefault="00CB11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E17E0"/>
    <w:multiLevelType w:val="hybridMultilevel"/>
    <w:tmpl w:val="61DA4556"/>
    <w:lvl w:ilvl="0" w:tplc="78D270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A6E57"/>
    <w:multiLevelType w:val="hybridMultilevel"/>
    <w:tmpl w:val="7C24F7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EA4C6D"/>
    <w:multiLevelType w:val="hybridMultilevel"/>
    <w:tmpl w:val="4740B9EC"/>
    <w:lvl w:ilvl="0" w:tplc="2000000F">
      <w:start w:val="1"/>
      <w:numFmt w:val="decimal"/>
      <w:lvlText w:val="%1."/>
      <w:lvlJc w:val="left"/>
      <w:pPr>
        <w:ind w:left="776" w:hanging="360"/>
      </w:pPr>
    </w:lvl>
    <w:lvl w:ilvl="1" w:tplc="20000019" w:tentative="1">
      <w:start w:val="1"/>
      <w:numFmt w:val="lowerLetter"/>
      <w:lvlText w:val="%2."/>
      <w:lvlJc w:val="left"/>
      <w:pPr>
        <w:ind w:left="1496" w:hanging="360"/>
      </w:pPr>
    </w:lvl>
    <w:lvl w:ilvl="2" w:tplc="2000001B" w:tentative="1">
      <w:start w:val="1"/>
      <w:numFmt w:val="lowerRoman"/>
      <w:lvlText w:val="%3."/>
      <w:lvlJc w:val="right"/>
      <w:pPr>
        <w:ind w:left="2216" w:hanging="180"/>
      </w:pPr>
    </w:lvl>
    <w:lvl w:ilvl="3" w:tplc="2000000F" w:tentative="1">
      <w:start w:val="1"/>
      <w:numFmt w:val="decimal"/>
      <w:lvlText w:val="%4."/>
      <w:lvlJc w:val="left"/>
      <w:pPr>
        <w:ind w:left="2936" w:hanging="360"/>
      </w:pPr>
    </w:lvl>
    <w:lvl w:ilvl="4" w:tplc="20000019" w:tentative="1">
      <w:start w:val="1"/>
      <w:numFmt w:val="lowerLetter"/>
      <w:lvlText w:val="%5."/>
      <w:lvlJc w:val="left"/>
      <w:pPr>
        <w:ind w:left="3656" w:hanging="360"/>
      </w:pPr>
    </w:lvl>
    <w:lvl w:ilvl="5" w:tplc="2000001B" w:tentative="1">
      <w:start w:val="1"/>
      <w:numFmt w:val="lowerRoman"/>
      <w:lvlText w:val="%6."/>
      <w:lvlJc w:val="right"/>
      <w:pPr>
        <w:ind w:left="4376" w:hanging="180"/>
      </w:pPr>
    </w:lvl>
    <w:lvl w:ilvl="6" w:tplc="2000000F" w:tentative="1">
      <w:start w:val="1"/>
      <w:numFmt w:val="decimal"/>
      <w:lvlText w:val="%7."/>
      <w:lvlJc w:val="left"/>
      <w:pPr>
        <w:ind w:left="5096" w:hanging="360"/>
      </w:pPr>
    </w:lvl>
    <w:lvl w:ilvl="7" w:tplc="20000019" w:tentative="1">
      <w:start w:val="1"/>
      <w:numFmt w:val="lowerLetter"/>
      <w:lvlText w:val="%8."/>
      <w:lvlJc w:val="left"/>
      <w:pPr>
        <w:ind w:left="5816" w:hanging="360"/>
      </w:pPr>
    </w:lvl>
    <w:lvl w:ilvl="8" w:tplc="2000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37B8D72E"/>
    <w:lvl w:ilvl="0" w:tplc="808293A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C57C1F"/>
    <w:multiLevelType w:val="hybridMultilevel"/>
    <w:tmpl w:val="59DCAD96"/>
    <w:lvl w:ilvl="0" w:tplc="62AA83A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C7C3178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FA24416"/>
    <w:multiLevelType w:val="hybridMultilevel"/>
    <w:tmpl w:val="6BDE844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57929">
    <w:abstractNumId w:val="3"/>
  </w:num>
  <w:num w:numId="2" w16cid:durableId="604968012">
    <w:abstractNumId w:val="19"/>
  </w:num>
  <w:num w:numId="3" w16cid:durableId="1767845139">
    <w:abstractNumId w:val="15"/>
  </w:num>
  <w:num w:numId="4" w16cid:durableId="388188457">
    <w:abstractNumId w:val="16"/>
  </w:num>
  <w:num w:numId="5" w16cid:durableId="830485172">
    <w:abstractNumId w:val="12"/>
  </w:num>
  <w:num w:numId="6" w16cid:durableId="2041734211">
    <w:abstractNumId w:val="18"/>
  </w:num>
  <w:num w:numId="7" w16cid:durableId="849757558">
    <w:abstractNumId w:val="23"/>
  </w:num>
  <w:num w:numId="8" w16cid:durableId="1325662328">
    <w:abstractNumId w:val="13"/>
  </w:num>
  <w:num w:numId="9" w16cid:durableId="205800074">
    <w:abstractNumId w:val="10"/>
  </w:num>
  <w:num w:numId="10" w16cid:durableId="1386682990">
    <w:abstractNumId w:val="2"/>
  </w:num>
  <w:num w:numId="11" w16cid:durableId="1516797681">
    <w:abstractNumId w:val="1"/>
  </w:num>
  <w:num w:numId="12" w16cid:durableId="606543439">
    <w:abstractNumId w:val="0"/>
  </w:num>
  <w:num w:numId="13" w16cid:durableId="1967546192">
    <w:abstractNumId w:val="20"/>
  </w:num>
  <w:num w:numId="14" w16cid:durableId="1882935282">
    <w:abstractNumId w:val="21"/>
  </w:num>
  <w:num w:numId="15" w16cid:durableId="865408297">
    <w:abstractNumId w:val="17"/>
  </w:num>
  <w:num w:numId="16" w16cid:durableId="396899495">
    <w:abstractNumId w:val="24"/>
  </w:num>
  <w:num w:numId="17" w16cid:durableId="1326326126">
    <w:abstractNumId w:val="8"/>
  </w:num>
  <w:num w:numId="18" w16cid:durableId="1714236298">
    <w:abstractNumId w:val="9"/>
  </w:num>
  <w:num w:numId="19" w16cid:durableId="1015808271">
    <w:abstractNumId w:val="4"/>
  </w:num>
  <w:num w:numId="20" w16cid:durableId="26954198">
    <w:abstractNumId w:val="27"/>
  </w:num>
  <w:num w:numId="21" w16cid:durableId="64763722">
    <w:abstractNumId w:val="14"/>
  </w:num>
  <w:num w:numId="22" w16cid:durableId="726294214">
    <w:abstractNumId w:val="26"/>
  </w:num>
  <w:num w:numId="23" w16cid:durableId="1650598447">
    <w:abstractNumId w:val="25"/>
  </w:num>
  <w:num w:numId="24" w16cid:durableId="1490826382">
    <w:abstractNumId w:val="22"/>
  </w:num>
  <w:num w:numId="25" w16cid:durableId="1979995021">
    <w:abstractNumId w:val="7"/>
  </w:num>
  <w:num w:numId="26" w16cid:durableId="1909654435">
    <w:abstractNumId w:val="11"/>
  </w:num>
  <w:num w:numId="27" w16cid:durableId="693308275">
    <w:abstractNumId w:val="28"/>
  </w:num>
  <w:num w:numId="28" w16cid:durableId="2080244657">
    <w:abstractNumId w:val="6"/>
  </w:num>
  <w:num w:numId="29" w16cid:durableId="120436990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66B09"/>
    <w:rsid w:val="00071AF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BC8"/>
    <w:rsid w:val="00093474"/>
    <w:rsid w:val="0009510F"/>
    <w:rsid w:val="000A1B7B"/>
    <w:rsid w:val="000A56F2"/>
    <w:rsid w:val="000B2719"/>
    <w:rsid w:val="000B3A8F"/>
    <w:rsid w:val="000B4AB9"/>
    <w:rsid w:val="000B533C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30F"/>
    <w:rsid w:val="00113C73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4C2A"/>
    <w:rsid w:val="00135252"/>
    <w:rsid w:val="00137AB5"/>
    <w:rsid w:val="00137F0B"/>
    <w:rsid w:val="00151E23"/>
    <w:rsid w:val="001526E0"/>
    <w:rsid w:val="001551B5"/>
    <w:rsid w:val="00162F7B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2E2C"/>
    <w:rsid w:val="001A6173"/>
    <w:rsid w:val="001A6CBA"/>
    <w:rsid w:val="001B0D97"/>
    <w:rsid w:val="001B5A5D"/>
    <w:rsid w:val="001C1CE5"/>
    <w:rsid w:val="001C3D2A"/>
    <w:rsid w:val="001D0D01"/>
    <w:rsid w:val="001D51BA"/>
    <w:rsid w:val="001D53E7"/>
    <w:rsid w:val="001D5A77"/>
    <w:rsid w:val="001D6342"/>
    <w:rsid w:val="001D6D53"/>
    <w:rsid w:val="001E58E2"/>
    <w:rsid w:val="001E7AED"/>
    <w:rsid w:val="001F3916"/>
    <w:rsid w:val="001F54C5"/>
    <w:rsid w:val="001F5D1E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1A63"/>
    <w:rsid w:val="00235632"/>
    <w:rsid w:val="00235872"/>
    <w:rsid w:val="00241559"/>
    <w:rsid w:val="002435B3"/>
    <w:rsid w:val="002458EB"/>
    <w:rsid w:val="00245D1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6509"/>
    <w:rsid w:val="002E73D0"/>
    <w:rsid w:val="002E7CAE"/>
    <w:rsid w:val="002F13E4"/>
    <w:rsid w:val="002F2771"/>
    <w:rsid w:val="002F37A9"/>
    <w:rsid w:val="002F675A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5CB9"/>
    <w:rsid w:val="003203ED"/>
    <w:rsid w:val="00322C9F"/>
    <w:rsid w:val="00324D23"/>
    <w:rsid w:val="00331751"/>
    <w:rsid w:val="00333E58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370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4E5"/>
    <w:rsid w:val="003E55E4"/>
    <w:rsid w:val="003E74E3"/>
    <w:rsid w:val="003F010B"/>
    <w:rsid w:val="003F05C7"/>
    <w:rsid w:val="003F0FC9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102F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C60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92BC5"/>
    <w:rsid w:val="004964F1"/>
    <w:rsid w:val="00496E9C"/>
    <w:rsid w:val="004A16BC"/>
    <w:rsid w:val="004A2B94"/>
    <w:rsid w:val="004A3FF9"/>
    <w:rsid w:val="004B6F6A"/>
    <w:rsid w:val="004B7C0C"/>
    <w:rsid w:val="004C324B"/>
    <w:rsid w:val="004C3898"/>
    <w:rsid w:val="004C50CC"/>
    <w:rsid w:val="004D0531"/>
    <w:rsid w:val="004D36B1"/>
    <w:rsid w:val="004D7EBD"/>
    <w:rsid w:val="004E0E5E"/>
    <w:rsid w:val="004E2680"/>
    <w:rsid w:val="004E28F9"/>
    <w:rsid w:val="004E462E"/>
    <w:rsid w:val="004E56DC"/>
    <w:rsid w:val="004E6E0E"/>
    <w:rsid w:val="004E76F4"/>
    <w:rsid w:val="004F0B4E"/>
    <w:rsid w:val="004F0B6C"/>
    <w:rsid w:val="004F2078"/>
    <w:rsid w:val="004F4DA3"/>
    <w:rsid w:val="004F5EB3"/>
    <w:rsid w:val="0050032C"/>
    <w:rsid w:val="005056BD"/>
    <w:rsid w:val="00506557"/>
    <w:rsid w:val="0050677A"/>
    <w:rsid w:val="005108D8"/>
    <w:rsid w:val="005116F9"/>
    <w:rsid w:val="005153A7"/>
    <w:rsid w:val="00516260"/>
    <w:rsid w:val="005219CF"/>
    <w:rsid w:val="00534B59"/>
    <w:rsid w:val="00536759"/>
    <w:rsid w:val="00537C62"/>
    <w:rsid w:val="00546970"/>
    <w:rsid w:val="00554E19"/>
    <w:rsid w:val="0056121F"/>
    <w:rsid w:val="00567660"/>
    <w:rsid w:val="0057201D"/>
    <w:rsid w:val="00572505"/>
    <w:rsid w:val="0057301E"/>
    <w:rsid w:val="00582809"/>
    <w:rsid w:val="0058798C"/>
    <w:rsid w:val="005900FA"/>
    <w:rsid w:val="005935A4"/>
    <w:rsid w:val="005948C2"/>
    <w:rsid w:val="00595DCA"/>
    <w:rsid w:val="0059623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13D2"/>
    <w:rsid w:val="005E385F"/>
    <w:rsid w:val="005E5B81"/>
    <w:rsid w:val="005F1307"/>
    <w:rsid w:val="005F2CB1"/>
    <w:rsid w:val="005F3025"/>
    <w:rsid w:val="005F5911"/>
    <w:rsid w:val="005F618C"/>
    <w:rsid w:val="005F62D5"/>
    <w:rsid w:val="005F70BD"/>
    <w:rsid w:val="0060283C"/>
    <w:rsid w:val="00604F14"/>
    <w:rsid w:val="00611B83"/>
    <w:rsid w:val="00613257"/>
    <w:rsid w:val="0061459E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8C1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67D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916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4D66"/>
    <w:rsid w:val="00715B9A"/>
    <w:rsid w:val="0071642E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648"/>
    <w:rsid w:val="00795C92"/>
    <w:rsid w:val="00796231"/>
    <w:rsid w:val="00797173"/>
    <w:rsid w:val="007A1CB3"/>
    <w:rsid w:val="007A306F"/>
    <w:rsid w:val="007A43A6"/>
    <w:rsid w:val="007A44B6"/>
    <w:rsid w:val="007A58A6"/>
    <w:rsid w:val="007B10E5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5D8F"/>
    <w:rsid w:val="0080605F"/>
    <w:rsid w:val="00807786"/>
    <w:rsid w:val="00811FCB"/>
    <w:rsid w:val="008158D6"/>
    <w:rsid w:val="0081665C"/>
    <w:rsid w:val="00817196"/>
    <w:rsid w:val="008235DB"/>
    <w:rsid w:val="00824AB4"/>
    <w:rsid w:val="00825C42"/>
    <w:rsid w:val="00825D25"/>
    <w:rsid w:val="00827D6F"/>
    <w:rsid w:val="00830F2B"/>
    <w:rsid w:val="008376AC"/>
    <w:rsid w:val="00841994"/>
    <w:rsid w:val="008444E8"/>
    <w:rsid w:val="00844E80"/>
    <w:rsid w:val="00846FE7"/>
    <w:rsid w:val="00856911"/>
    <w:rsid w:val="00862A6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66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DA6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54CB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1C8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9A6"/>
    <w:rsid w:val="00971F08"/>
    <w:rsid w:val="0097603D"/>
    <w:rsid w:val="00976949"/>
    <w:rsid w:val="00976B1F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1F7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593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546"/>
    <w:rsid w:val="00A41E2B"/>
    <w:rsid w:val="00A43305"/>
    <w:rsid w:val="00A45B74"/>
    <w:rsid w:val="00A52E1D"/>
    <w:rsid w:val="00A56054"/>
    <w:rsid w:val="00A56D55"/>
    <w:rsid w:val="00A611B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707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2FB"/>
    <w:rsid w:val="00AC2ECD"/>
    <w:rsid w:val="00AC3119"/>
    <w:rsid w:val="00AC3AB3"/>
    <w:rsid w:val="00AC49FB"/>
    <w:rsid w:val="00AC5A10"/>
    <w:rsid w:val="00AC7DE3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2AB"/>
    <w:rsid w:val="00B1703A"/>
    <w:rsid w:val="00B178EF"/>
    <w:rsid w:val="00B20256"/>
    <w:rsid w:val="00B20D09"/>
    <w:rsid w:val="00B2292D"/>
    <w:rsid w:val="00B2757F"/>
    <w:rsid w:val="00B2763F"/>
    <w:rsid w:val="00B27AAC"/>
    <w:rsid w:val="00B30929"/>
    <w:rsid w:val="00B334A0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5FBA"/>
    <w:rsid w:val="00BB7B3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D0C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30A1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307D"/>
    <w:rsid w:val="00CC3EA0"/>
    <w:rsid w:val="00CC4E71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6AE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4231"/>
    <w:rsid w:val="00DA5417"/>
    <w:rsid w:val="00DA56E8"/>
    <w:rsid w:val="00DB0A9F"/>
    <w:rsid w:val="00DB377D"/>
    <w:rsid w:val="00DC2D36"/>
    <w:rsid w:val="00DC3F81"/>
    <w:rsid w:val="00DC53EF"/>
    <w:rsid w:val="00DE5608"/>
    <w:rsid w:val="00DE58D0"/>
    <w:rsid w:val="00DE654F"/>
    <w:rsid w:val="00DF0B6E"/>
    <w:rsid w:val="00DF10D9"/>
    <w:rsid w:val="00DF15E0"/>
    <w:rsid w:val="00DF37A0"/>
    <w:rsid w:val="00DF72A7"/>
    <w:rsid w:val="00E110E7"/>
    <w:rsid w:val="00E116AD"/>
    <w:rsid w:val="00E11B20"/>
    <w:rsid w:val="00E15ACC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246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0302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261D"/>
    <w:rsid w:val="00F2376F"/>
    <w:rsid w:val="00F243D8"/>
    <w:rsid w:val="00F30828"/>
    <w:rsid w:val="00F30A6A"/>
    <w:rsid w:val="00F313D6"/>
    <w:rsid w:val="00F37D05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1F2E"/>
    <w:rsid w:val="00F6302A"/>
    <w:rsid w:val="00F63950"/>
    <w:rsid w:val="00F64C2B"/>
    <w:rsid w:val="00F651BE"/>
    <w:rsid w:val="00F66BFF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6807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CC307D"/>
    <w:pPr>
      <w:spacing w:after="160" w:line="259" w:lineRule="auto"/>
      <w:jc w:val="both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eastAsiaTheme="minorHAnsi" w:hAnsi="Arial" w:cstheme="minorBidi"/>
      <w:szCs w:val="22"/>
      <w:lang w:val="en-US"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5F6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E" w:eastAsia="en-SE"/>
    </w:rPr>
  </w:style>
  <w:style w:type="paragraph" w:styleId="Revision">
    <w:name w:val="Revision"/>
    <w:hidden/>
    <w:uiPriority w:val="99"/>
    <w:semiHidden/>
    <w:rsid w:val="0059623A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C1DFB-D5D2-45A3-962C-2FA3440AF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1263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2023-05-15T07:09:00Z</dcterms:created>
  <dcterms:modified xsi:type="dcterms:W3CDTF">2023-05-15T07:34:00Z</dcterms:modified>
  <cp:category/>
</cp:coreProperties>
</file>